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widowControl w:val="0"/>
        <w:spacing w:after="0" w:before="0" w:line="276" w:lineRule="auto"/>
        <w:rPr/>
      </w:pPr>
      <w:bookmarkStart w:colFirst="0" w:colLast="0" w:name="_o2fiia9an2ea" w:id="0"/>
      <w:bookmarkEnd w:id="0"/>
      <w:r w:rsidDel="00000000" w:rsidR="00000000" w:rsidRPr="00000000">
        <w:rPr>
          <w:rtl w:val="0"/>
        </w:rPr>
        <w:t xml:space="preserve">IB ESS Exam Revision Guide</w:t>
      </w:r>
      <w:r w:rsidDel="00000000" w:rsidR="00000000" w:rsidRPr="00000000">
        <w:rPr>
          <w:rtl w:val="0"/>
        </w:rPr>
      </w:r>
    </w:p>
    <w:p w:rsidR="00000000" w:rsidDel="00000000" w:rsidP="00000000" w:rsidRDefault="00000000" w:rsidRPr="00000000" w14:paraId="00000002">
      <w:pPr>
        <w:pStyle w:val="Heading2"/>
        <w:widowControl w:val="0"/>
        <w:rPr/>
      </w:pPr>
      <w:bookmarkStart w:colFirst="0" w:colLast="0" w:name="_gkyw6o8vgup" w:id="1"/>
      <w:bookmarkEnd w:id="1"/>
      <w:r w:rsidDel="00000000" w:rsidR="00000000" w:rsidRPr="00000000">
        <w:rPr>
          <w:rtl w:val="0"/>
        </w:rPr>
        <w:t xml:space="preserve">Part 1 - Assessment Recap </w:t>
      </w:r>
    </w:p>
    <w:p w:rsidR="00000000" w:rsidDel="00000000" w:rsidP="00000000" w:rsidRDefault="00000000" w:rsidRPr="00000000" w14:paraId="00000003">
      <w:pPr>
        <w:rPr/>
      </w:pPr>
      <w:r w:rsidDel="00000000" w:rsidR="00000000" w:rsidRPr="00000000">
        <w:rPr>
          <w:rtl w:val="0"/>
        </w:rPr>
        <w:t xml:space="preserve">Review and record your scores for the major ESS assessments shown below.</w:t>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270"/>
        <w:gridCol w:w="1380"/>
        <w:gridCol w:w="1350"/>
        <w:tblGridChange w:id="0">
          <w:tblGrid>
            <w:gridCol w:w="6270"/>
            <w:gridCol w:w="1380"/>
            <w:gridCol w:w="13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b w:val="1"/>
                <w:bCs w:val="1"/>
              </w:rPr>
            </w:pPr>
            <w:r w:rsidDel="00000000" w:rsidR="00000000" w:rsidRPr="00000000">
              <w:rPr>
                <w:rFonts w:ascii="Inter" w:cs="Inter" w:eastAsia="Inter" w:hAnsi="Inter"/>
                <w:b w:val="1"/>
                <w:bCs w:val="1"/>
                <w:rtl w:val="0"/>
              </w:rPr>
              <w:t xml:space="preserve">Assessment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Inter" w:cs="Inter" w:eastAsia="Inter" w:hAnsi="Inter"/>
                <w:b w:val="1"/>
                <w:bCs w:val="1"/>
              </w:rPr>
            </w:pPr>
            <w:r w:rsidDel="00000000" w:rsidR="00000000" w:rsidRPr="00000000">
              <w:rPr>
                <w:rFonts w:ascii="Inter" w:cs="Inter" w:eastAsia="Inter" w:hAnsi="Inter"/>
                <w:b w:val="1"/>
                <w:bCs w:val="1"/>
                <w:rtl w:val="0"/>
              </w:rPr>
              <w:t xml:space="preserve">Score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Inter" w:cs="Inter" w:eastAsia="Inter" w:hAnsi="Inter"/>
                <w:b w:val="1"/>
                <w:bCs w:val="1"/>
              </w:rPr>
            </w:pPr>
            <w:r w:rsidDel="00000000" w:rsidR="00000000" w:rsidRPr="00000000">
              <w:rPr>
                <w:rFonts w:ascii="Inter" w:cs="Inter" w:eastAsia="Inter" w:hAnsi="Inter"/>
                <w:b w:val="1"/>
                <w:bCs w:val="1"/>
                <w:rtl w:val="0"/>
              </w:rPr>
              <w:t xml:space="preserve">1-7 grade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before="0" w:line="240" w:lineRule="auto"/>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before="0" w:line="240" w:lineRule="auto"/>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before="0" w:line="240" w:lineRule="auto"/>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before="0" w:line="240" w:lineRule="auto"/>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before="0" w:line="240" w:lineRule="auto"/>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before="0" w:line="240" w:lineRule="auto"/>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before="0" w:line="240" w:lineRule="auto"/>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before="0" w:line="240" w:lineRule="auto"/>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before="0" w:line="240" w:lineRule="auto"/>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before="0"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before="0" w:line="240" w:lineRule="auto"/>
              <w:jc w:val="righ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bl>
    <w:p w:rsidR="00000000" w:rsidDel="00000000" w:rsidP="00000000" w:rsidRDefault="00000000" w:rsidRPr="00000000" w14:paraId="00000028">
      <w:pPr>
        <w:pStyle w:val="Heading2"/>
        <w:widowControl w:val="0"/>
        <w:rPr/>
      </w:pPr>
      <w:bookmarkStart w:colFirst="0" w:colLast="0" w:name="_9uzdyoinzzyr" w:id="2"/>
      <w:bookmarkEnd w:id="2"/>
      <w:r w:rsidDel="00000000" w:rsidR="00000000" w:rsidRPr="00000000">
        <w:rPr>
          <w:rtl w:val="0"/>
        </w:rPr>
        <w:t xml:space="preserve">Part 2 - Topic Rating </w:t>
      </w:r>
    </w:p>
    <w:p w:rsidR="00000000" w:rsidDel="00000000" w:rsidP="00000000" w:rsidRDefault="00000000" w:rsidRPr="00000000" w14:paraId="00000029">
      <w:pPr>
        <w:rPr/>
      </w:pPr>
      <w:r w:rsidDel="00000000" w:rsidR="00000000" w:rsidRPr="00000000">
        <w:rPr>
          <w:rtl w:val="0"/>
        </w:rPr>
        <w:t xml:space="preserve">Examine the following list of big ideas and key concepts we have covered throughout the course. Now imagine you had to write a 3-paragraph essay detailing everything you know about the subtopics in each line. </w:t>
      </w:r>
      <w:r w:rsidDel="00000000" w:rsidR="00000000" w:rsidRPr="00000000">
        <w:rPr>
          <w:rFonts w:ascii="Inter" w:cs="Inter" w:eastAsia="Inter" w:hAnsi="Inter"/>
          <w:b w:val="1"/>
          <w:bCs w:val="1"/>
          <w:rtl w:val="0"/>
        </w:rPr>
        <w:t xml:space="preserve">Rate your confidence with each subtopic</w:t>
      </w:r>
      <w:r w:rsidDel="00000000" w:rsidR="00000000" w:rsidRPr="00000000">
        <w:rPr>
          <w:rtl w:val="0"/>
        </w:rPr>
        <w:t xml:space="preserve">. </w:t>
      </w:r>
    </w:p>
    <w:tbl>
      <w:tblPr>
        <w:tblStyle w:val="Table2"/>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55"/>
        <w:gridCol w:w="3345"/>
        <w:tblGridChange w:id="0">
          <w:tblGrid>
            <w:gridCol w:w="5655"/>
            <w:gridCol w:w="3345"/>
          </w:tblGrid>
        </w:tblGridChange>
      </w:tblGrid>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b w:val="1"/>
                <w:bCs w:val="1"/>
              </w:rPr>
            </w:pPr>
            <w:r w:rsidDel="00000000" w:rsidR="00000000" w:rsidRPr="00000000">
              <w:rPr>
                <w:rFonts w:ascii="Inter" w:cs="Inter" w:eastAsia="Inter" w:hAnsi="Inter"/>
                <w:b w:val="1"/>
                <w:bCs w:val="1"/>
                <w:rtl w:val="0"/>
              </w:rPr>
              <w:t xml:space="preserve">Topic - subtopic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b w:val="1"/>
                <w:bCs w:val="1"/>
              </w:rPr>
            </w:pPr>
            <w:r w:rsidDel="00000000" w:rsidR="00000000" w:rsidRPr="00000000">
              <w:rPr>
                <w:rFonts w:ascii="Inter" w:cs="Inter" w:eastAsia="Inter" w:hAnsi="Inter"/>
                <w:b w:val="1"/>
                <w:bCs w:val="1"/>
                <w:rtl w:val="0"/>
              </w:rPr>
              <w:t xml:space="preserve">Self-assessment (circle 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 EVSs, perspectives, environmental movement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 Systems, energy, equilibria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 Sustainability frameworks, natural capital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before="0" w:line="240" w:lineRule="auto"/>
              <w:rPr/>
            </w:pPr>
            <w:r w:rsidDel="00000000" w:rsidR="00000000" w:rsidRPr="00000000">
              <w:rPr>
                <w:rtl w:val="0"/>
              </w:rPr>
              <w:t xml:space="preserve">2.1 - Species, populations, carrying capacity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before="0" w:line="240" w:lineRule="auto"/>
              <w:rPr/>
            </w:pPr>
            <w:r w:rsidDel="00000000" w:rsidR="00000000" w:rsidRPr="00000000">
              <w:rPr>
                <w:rtl w:val="0"/>
              </w:rPr>
              <w:t xml:space="preserve">2.2 - Communities, keystone species, diversity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before="0" w:line="240" w:lineRule="auto"/>
              <w:rPr/>
            </w:pPr>
            <w:r w:rsidDel="00000000" w:rsidR="00000000" w:rsidRPr="00000000">
              <w:rPr>
                <w:rtl w:val="0"/>
              </w:rPr>
              <w:t xml:space="preserve">2.3 - Energy flow, trophic levels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before="0" w:line="240" w:lineRule="auto"/>
              <w:rPr/>
            </w:pPr>
            <w:r w:rsidDel="00000000" w:rsidR="00000000" w:rsidRPr="00000000">
              <w:rPr>
                <w:rtl w:val="0"/>
              </w:rPr>
              <w:t xml:space="preserve">2.4 - Nutrient cycles, carbon, nitrogen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before="0" w:line="240" w:lineRule="auto"/>
              <w:rPr/>
            </w:pPr>
            <w:r w:rsidDel="00000000" w:rsidR="00000000" w:rsidRPr="00000000">
              <w:rPr>
                <w:rtl w:val="0"/>
              </w:rPr>
              <w:t xml:space="preserve">2.5 - Succession, resilience, ecosystem change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before="0" w:line="240" w:lineRule="auto"/>
              <w:rPr/>
            </w:pPr>
            <w:r w:rsidDel="00000000" w:rsidR="00000000" w:rsidRPr="00000000">
              <w:rPr>
                <w:rtl w:val="0"/>
              </w:rPr>
              <w:t xml:space="preserve">3.1 - Biodiversity: genetic, species, ecosystem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before="0" w:line="240" w:lineRule="auto"/>
              <w:rPr/>
            </w:pPr>
            <w:r w:rsidDel="00000000" w:rsidR="00000000" w:rsidRPr="00000000">
              <w:rPr>
                <w:rtl w:val="0"/>
              </w:rPr>
              <w:t xml:space="preserve">3.2 - Origins, evolution, plate tectonics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before="0" w:line="240" w:lineRule="auto"/>
              <w:rPr/>
            </w:pPr>
            <w:r w:rsidDel="00000000" w:rsidR="00000000" w:rsidRPr="00000000">
              <w:rPr>
                <w:rtl w:val="0"/>
              </w:rPr>
              <w:t xml:space="preserve">3.3 - Threats, habitat loss, extinction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before="0" w:line="240" w:lineRule="auto"/>
              <w:rPr/>
            </w:pPr>
            <w:r w:rsidDel="00000000" w:rsidR="00000000" w:rsidRPr="00000000">
              <w:rPr>
                <w:rtl w:val="0"/>
              </w:rPr>
              <w:t xml:space="preserve">3.4 - Conservation strategies, protected areas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before="0" w:line="240" w:lineRule="auto"/>
              <w:rPr/>
            </w:pPr>
            <w:r w:rsidDel="00000000" w:rsidR="00000000" w:rsidRPr="00000000">
              <w:rPr>
                <w:rtl w:val="0"/>
              </w:rPr>
              <w:t xml:space="preserve">4.1 - Hydrological cycle, water distribution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before="0" w:line="240" w:lineRule="auto"/>
              <w:rPr/>
            </w:pPr>
            <w:r w:rsidDel="00000000" w:rsidR="00000000" w:rsidRPr="00000000">
              <w:rPr>
                <w:rtl w:val="0"/>
              </w:rPr>
              <w:t xml:space="preserve">4.2 - Ocean systems, currents, zones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before="0" w:line="240" w:lineRule="auto"/>
              <w:rPr/>
            </w:pPr>
            <w:r w:rsidDel="00000000" w:rsidR="00000000" w:rsidRPr="00000000">
              <w:rPr>
                <w:rtl w:val="0"/>
              </w:rPr>
              <w:t xml:space="preserve">4.3 - Water pollution, eutrophication,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before="0" w:line="240" w:lineRule="auto"/>
              <w:rPr/>
            </w:pPr>
            <w:r w:rsidDel="00000000" w:rsidR="00000000" w:rsidRPr="00000000">
              <w:rPr>
                <w:rtl w:val="0"/>
              </w:rPr>
              <w:t xml:space="preserve">5.1 - Soil formation, profiles, erosion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before="0" w:line="240" w:lineRule="auto"/>
              <w:rPr/>
            </w:pPr>
            <w:r w:rsidDel="00000000" w:rsidR="00000000" w:rsidRPr="00000000">
              <w:rPr>
                <w:rtl w:val="0"/>
              </w:rPr>
              <w:t xml:space="preserve">5.2 - Food production, agriculture, sustainability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before="0" w:line="240" w:lineRule="auto"/>
              <w:rPr/>
            </w:pPr>
            <w:r w:rsidDel="00000000" w:rsidR="00000000" w:rsidRPr="00000000">
              <w:rPr>
                <w:rtl w:val="0"/>
              </w:rPr>
              <w:t xml:space="preserve">6.1 - Atmospheric composition, energy balance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before="0" w:line="240" w:lineRule="auto"/>
              <w:rPr/>
            </w:pPr>
            <w:r w:rsidDel="00000000" w:rsidR="00000000" w:rsidRPr="00000000">
              <w:rPr>
                <w:rtl w:val="0"/>
              </w:rPr>
              <w:t xml:space="preserve">6.2 - Climate change, impacts, mitigation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before="0" w:line="240" w:lineRule="auto"/>
              <w:rPr/>
            </w:pPr>
            <w:r w:rsidDel="00000000" w:rsidR="00000000" w:rsidRPr="00000000">
              <w:rPr>
                <w:rtl w:val="0"/>
              </w:rPr>
              <w:t xml:space="preserve">6.3 - Ozone depletion, Montreal Protocol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before="0" w:line="240" w:lineRule="auto"/>
              <w:rPr/>
            </w:pPr>
            <w:r w:rsidDel="00000000" w:rsidR="00000000" w:rsidRPr="00000000">
              <w:rPr>
                <w:rtl w:val="0"/>
              </w:rPr>
              <w:t xml:space="preserve">7.1 - Natural capital, resource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before="0" w:line="240" w:lineRule="auto"/>
              <w:rPr/>
            </w:pPr>
            <w:r w:rsidDel="00000000" w:rsidR="00000000" w:rsidRPr="00000000">
              <w:rPr>
                <w:rtl w:val="0"/>
              </w:rPr>
              <w:t xml:space="preserve">7.2 - Energy sources, renewable, non-renewable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before="0" w:line="240" w:lineRule="auto"/>
              <w:rPr/>
            </w:pPr>
            <w:r w:rsidDel="00000000" w:rsidR="00000000" w:rsidRPr="00000000">
              <w:rPr>
                <w:rtl w:val="0"/>
              </w:rPr>
              <w:t xml:space="preserve">7.3 - Solid waste, circular economy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before="0" w:line="240" w:lineRule="auto"/>
              <w:rPr/>
            </w:pPr>
            <w:r w:rsidDel="00000000" w:rsidR="00000000" w:rsidRPr="00000000">
              <w:rPr>
                <w:rtl w:val="0"/>
              </w:rPr>
              <w:t xml:space="preserve">8.1 - Population dynamics, growth models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before="0" w:line="240" w:lineRule="auto"/>
              <w:rPr/>
            </w:pPr>
            <w:r w:rsidDel="00000000" w:rsidR="00000000" w:rsidRPr="00000000">
              <w:rPr>
                <w:rtl w:val="0"/>
              </w:rPr>
              <w:t xml:space="preserve">8.2 - Urban systems, planning, sustainability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before="0" w:line="240" w:lineRule="auto"/>
              <w:jc w:val="center"/>
              <w:rPr/>
            </w:pPr>
            <w:r w:rsidDel="00000000" w:rsidR="00000000" w:rsidRPr="00000000">
              <w:rPr>
                <w:rtl w:val="0"/>
              </w:rPr>
              <w:t xml:space="preserve">💪    😐    😕    😥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before="0" w:line="240" w:lineRule="auto"/>
              <w:rPr/>
            </w:pPr>
            <w:r w:rsidDel="00000000" w:rsidR="00000000" w:rsidRPr="00000000">
              <w:rPr>
                <w:rtl w:val="0"/>
              </w:rPr>
              <w:t xml:space="preserve">8.3 - Urban air pollution,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before="0" w:line="240" w:lineRule="auto"/>
              <w:jc w:val="center"/>
              <w:rPr/>
            </w:pPr>
            <w:r w:rsidDel="00000000" w:rsidR="00000000" w:rsidRPr="00000000">
              <w:rPr>
                <w:rtl w:val="0"/>
              </w:rPr>
              <w:t xml:space="preserve">💪    😐    😕    😥    😫    ☠️</w:t>
            </w:r>
          </w:p>
        </w:tc>
      </w:tr>
    </w:tbl>
    <w:p w:rsidR="00000000" w:rsidDel="00000000" w:rsidP="00000000" w:rsidRDefault="00000000" w:rsidRPr="00000000" w14:paraId="00000060">
      <w:pPr>
        <w:pStyle w:val="Heading2"/>
        <w:widowControl w:val="0"/>
        <w:rPr/>
      </w:pPr>
      <w:bookmarkStart w:colFirst="0" w:colLast="0" w:name="_hjuonqakgy2a" w:id="3"/>
      <w:bookmarkEnd w:id="3"/>
      <w:r w:rsidDel="00000000" w:rsidR="00000000" w:rsidRPr="00000000">
        <w:rPr>
          <w:rtl w:val="0"/>
        </w:rPr>
        <w:t xml:space="preserve">Part 3 - Exam Paper Rating</w:t>
      </w:r>
    </w:p>
    <w:p w:rsidR="00000000" w:rsidDel="00000000" w:rsidP="00000000" w:rsidRDefault="00000000" w:rsidRPr="00000000" w14:paraId="00000061">
      <w:pPr>
        <w:widowControl w:val="0"/>
        <w:spacing w:after="0" w:before="200" w:line="276" w:lineRule="auto"/>
        <w:rPr/>
      </w:pPr>
      <w:r w:rsidDel="00000000" w:rsidR="00000000" w:rsidRPr="00000000">
        <w:rPr>
          <w:rtl w:val="0"/>
        </w:rPr>
        <w:t xml:space="preserve">Review your assessment scores on the previous page. Did you generally perform </w:t>
      </w:r>
      <w:r w:rsidDel="00000000" w:rsidR="00000000" w:rsidRPr="00000000">
        <w:rPr>
          <w:rFonts w:ascii="Inter" w:cs="Inter" w:eastAsia="Inter" w:hAnsi="Inter"/>
          <w:b w:val="1"/>
          <w:bCs w:val="1"/>
          <w:rtl w:val="0"/>
        </w:rPr>
        <w:t xml:space="preserve">better on Paper 1 or Paper 2</w:t>
      </w:r>
      <w:r w:rsidDel="00000000" w:rsidR="00000000" w:rsidRPr="00000000">
        <w:rPr>
          <w:rtl w:val="0"/>
        </w:rPr>
        <w:t xml:space="preserve"> tests? </w:t>
      </w:r>
    </w:p>
    <w:tbl>
      <w:tblPr>
        <w:tblStyle w:val="Table3"/>
        <w:tblW w:w="5025.0" w:type="dxa"/>
        <w:jc w:val="left"/>
        <w:tblInd w:w="39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25"/>
        <w:tblGridChange w:id="0">
          <w:tblGrid>
            <w:gridCol w:w="50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63">
      <w:pPr>
        <w:widowControl w:val="0"/>
        <w:spacing w:after="0" w:before="200" w:line="276" w:lineRule="auto"/>
        <w:rPr/>
      </w:pPr>
      <w:r w:rsidDel="00000000" w:rsidR="00000000" w:rsidRPr="00000000">
        <w:rPr>
          <w:rtl w:val="0"/>
        </w:rPr>
        <w:t xml:space="preserve">Review your Paper 2 results. Did you generally perform </w:t>
      </w:r>
      <w:r w:rsidDel="00000000" w:rsidR="00000000" w:rsidRPr="00000000">
        <w:rPr>
          <w:rFonts w:ascii="Inter" w:cs="Inter" w:eastAsia="Inter" w:hAnsi="Inter"/>
          <w:b w:val="1"/>
          <w:bCs w:val="1"/>
          <w:rtl w:val="0"/>
        </w:rPr>
        <w:t xml:space="preserve">better on Paper 2 Section A or Paper 2 Section B</w:t>
      </w:r>
      <w:r w:rsidDel="00000000" w:rsidR="00000000" w:rsidRPr="00000000">
        <w:rPr>
          <w:rtl w:val="0"/>
        </w:rPr>
        <w:t xml:space="preserve">? You may have to look through the individual Paper 2 exam papers to make this determination. </w:t>
      </w:r>
    </w:p>
    <w:tbl>
      <w:tblPr>
        <w:tblStyle w:val="Table4"/>
        <w:tblW w:w="5025.0" w:type="dxa"/>
        <w:jc w:val="left"/>
        <w:tblInd w:w="39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25"/>
        <w:tblGridChange w:id="0">
          <w:tblGrid>
            <w:gridCol w:w="50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before="0" w:line="240" w:lineRule="auto"/>
              <w:rPr/>
            </w:pPr>
            <w:r w:rsidDel="00000000" w:rsidR="00000000" w:rsidRPr="00000000">
              <w:rPr>
                <w:rtl w:val="0"/>
              </w:rPr>
            </w:r>
          </w:p>
        </w:tc>
      </w:tr>
    </w:tbl>
    <w:p w:rsidR="00000000" w:rsidDel="00000000" w:rsidP="00000000" w:rsidRDefault="00000000" w:rsidRPr="00000000" w14:paraId="00000065">
      <w:pPr>
        <w:widowControl w:val="0"/>
        <w:rPr/>
      </w:pPr>
      <w:r w:rsidDel="00000000" w:rsidR="00000000" w:rsidRPr="00000000">
        <w:rPr>
          <w:rtl w:val="0"/>
        </w:rPr>
      </w:r>
    </w:p>
    <w:p w:rsidR="00000000" w:rsidDel="00000000" w:rsidP="00000000" w:rsidRDefault="00000000" w:rsidRPr="00000000" w14:paraId="00000066">
      <w:pPr>
        <w:widowControl w:val="0"/>
        <w:spacing w:after="0" w:before="200" w:line="276" w:lineRule="auto"/>
        <w:rPr/>
      </w:pPr>
      <w:r w:rsidDel="00000000" w:rsidR="00000000" w:rsidRPr="00000000">
        <w:br w:type="page"/>
      </w:r>
      <w:r w:rsidDel="00000000" w:rsidR="00000000" w:rsidRPr="00000000">
        <w:rPr>
          <w:rtl w:val="0"/>
        </w:rPr>
      </w:r>
    </w:p>
    <w:p w:rsidR="00000000" w:rsidDel="00000000" w:rsidP="00000000" w:rsidRDefault="00000000" w:rsidRPr="00000000" w14:paraId="00000067">
      <w:pPr>
        <w:pStyle w:val="Heading2"/>
        <w:widowControl w:val="0"/>
        <w:rPr/>
      </w:pPr>
      <w:bookmarkStart w:colFirst="0" w:colLast="0" w:name="_55tk7boon5xf" w:id="4"/>
      <w:bookmarkEnd w:id="4"/>
      <w:r w:rsidDel="00000000" w:rsidR="00000000" w:rsidRPr="00000000">
        <w:rPr>
          <w:rtl w:val="0"/>
        </w:rPr>
        <w:t xml:space="preserve">Part 4 - Study Plan</w:t>
      </w:r>
    </w:p>
    <w:p w:rsidR="00000000" w:rsidDel="00000000" w:rsidP="00000000" w:rsidRDefault="00000000" w:rsidRPr="00000000" w14:paraId="00000068">
      <w:pPr>
        <w:widowControl w:val="0"/>
        <w:spacing w:after="0" w:before="200" w:line="276" w:lineRule="auto"/>
        <w:rPr/>
      </w:pPr>
      <w:r w:rsidDel="00000000" w:rsidR="00000000" w:rsidRPr="00000000">
        <w:rPr>
          <w:rtl w:val="0"/>
        </w:rPr>
        <w:t xml:space="preserve">It’s not enough to just list the things you’re going to study. If you want to succeed on your IB ESS exam, you have to make a plan - </w:t>
      </w:r>
      <w:r w:rsidDel="00000000" w:rsidR="00000000" w:rsidRPr="00000000">
        <w:rPr>
          <w:rFonts w:ascii="Inter" w:cs="Inter" w:eastAsia="Inter" w:hAnsi="Inter"/>
          <w:b w:val="1"/>
          <w:bCs w:val="1"/>
          <w:rtl w:val="0"/>
        </w:rPr>
        <w:t xml:space="preserve">what will you study and when will you study it?</w:t>
      </w:r>
      <w:r w:rsidDel="00000000" w:rsidR="00000000" w:rsidRPr="00000000">
        <w:rPr>
          <w:rtl w:val="0"/>
        </w:rPr>
        <w:t xml:space="preserve"> Use the table below to create a personalized review schedule for ESS. Based on the comfort level indicated on the previous page, you need to prioritize topics for review. Start with the topics you are least comfortable with, and schedule time to review them into your plan every couple of weeks. You have about eight weeks to prepare for your exams - not just ESS, but </w:t>
      </w:r>
      <w:r w:rsidDel="00000000" w:rsidR="00000000" w:rsidRPr="00000000">
        <w:rPr>
          <w:i w:val="1"/>
          <w:iCs w:val="1"/>
          <w:rtl w:val="0"/>
        </w:rPr>
        <w:t xml:space="preserve">all your IB exams</w:t>
      </w:r>
      <w:r w:rsidDel="00000000" w:rsidR="00000000" w:rsidRPr="00000000">
        <w:rPr>
          <w:rtl w:val="0"/>
        </w:rPr>
        <w:t xml:space="preserve">. </w:t>
      </w:r>
      <w:r w:rsidDel="00000000" w:rsidR="00000000" w:rsidRPr="00000000">
        <w:rPr>
          <w:rFonts w:ascii="Inter" w:cs="Inter" w:eastAsia="Inter" w:hAnsi="Inter"/>
          <w:b w:val="1"/>
          <w:bCs w:val="1"/>
          <w:rtl w:val="0"/>
        </w:rPr>
        <w:t xml:space="preserve">You need a plan</w:t>
      </w:r>
      <w:r w:rsidDel="00000000" w:rsidR="00000000" w:rsidRPr="00000000">
        <w:rPr>
          <w:rtl w:val="0"/>
        </w:rPr>
        <w:t xml:space="preserve">. </w:t>
      </w:r>
    </w:p>
    <w:tbl>
      <w:tblPr>
        <w:tblStyle w:val="Table5"/>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75"/>
        <w:gridCol w:w="2040"/>
        <w:gridCol w:w="1785"/>
        <w:tblGridChange w:id="0">
          <w:tblGrid>
            <w:gridCol w:w="5175"/>
            <w:gridCol w:w="2040"/>
            <w:gridCol w:w="17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b w:val="1"/>
                <w:bCs w:val="1"/>
              </w:rPr>
            </w:pPr>
            <w:r w:rsidDel="00000000" w:rsidR="00000000" w:rsidRPr="00000000">
              <w:rPr>
                <w:rFonts w:ascii="Inter" w:cs="Inter" w:eastAsia="Inter" w:hAnsi="Inter"/>
                <w:b w:val="1"/>
                <w:bCs w:val="1"/>
                <w:rtl w:val="0"/>
              </w:rPr>
              <w:t xml:space="preserve">Topic to review</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b w:val="1"/>
                <w:bCs w:val="1"/>
              </w:rPr>
            </w:pPr>
            <w:r w:rsidDel="00000000" w:rsidR="00000000" w:rsidRPr="00000000">
              <w:rPr>
                <w:rFonts w:ascii="Inter" w:cs="Inter" w:eastAsia="Inter" w:hAnsi="Inter"/>
                <w:b w:val="1"/>
                <w:bCs w:val="1"/>
                <w:rtl w:val="0"/>
              </w:rPr>
              <w:t xml:space="preserve">Deadline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b w:val="1"/>
                <w:bCs w:val="1"/>
              </w:rPr>
            </w:pPr>
            <w:r w:rsidDel="00000000" w:rsidR="00000000" w:rsidRPr="00000000">
              <w:rPr>
                <w:rFonts w:ascii="Inter" w:cs="Inter" w:eastAsia="Inter" w:hAnsi="Inter"/>
                <w:b w:val="1"/>
                <w:bCs w:val="1"/>
                <w:rtl w:val="0"/>
              </w:rPr>
              <w:t xml:space="preserve">Completed?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bl>
    <w:p w:rsidR="00000000" w:rsidDel="00000000" w:rsidP="00000000" w:rsidRDefault="00000000" w:rsidRPr="00000000" w14:paraId="00000099">
      <w:pPr>
        <w:widowControl w:val="0"/>
        <w:spacing w:after="0" w:before="200" w:line="276" w:lineRule="auto"/>
        <w:rPr/>
      </w:pPr>
      <w:r w:rsidDel="00000000" w:rsidR="00000000" w:rsidRPr="00000000">
        <w:br w:type="page"/>
      </w:r>
      <w:r w:rsidDel="00000000" w:rsidR="00000000" w:rsidRPr="00000000">
        <w:rPr>
          <w:rtl w:val="0"/>
        </w:rPr>
      </w:r>
    </w:p>
    <w:p w:rsidR="00000000" w:rsidDel="00000000" w:rsidP="00000000" w:rsidRDefault="00000000" w:rsidRPr="00000000" w14:paraId="0000009A">
      <w:pPr>
        <w:pStyle w:val="Heading2"/>
        <w:widowControl w:val="0"/>
        <w:rPr/>
      </w:pPr>
      <w:bookmarkStart w:colFirst="0" w:colLast="0" w:name="_t8kr3ohsuzqz" w:id="5"/>
      <w:bookmarkEnd w:id="5"/>
      <w:r w:rsidDel="00000000" w:rsidR="00000000" w:rsidRPr="00000000">
        <w:rPr>
          <w:rtl w:val="0"/>
        </w:rPr>
        <w:t xml:space="preserve">Part 5 - Exam Strategies</w:t>
      </w:r>
    </w:p>
    <w:p w:rsidR="00000000" w:rsidDel="00000000" w:rsidP="00000000" w:rsidRDefault="00000000" w:rsidRPr="00000000" w14:paraId="0000009B">
      <w:pPr>
        <w:pStyle w:val="Heading3"/>
        <w:rPr/>
      </w:pPr>
      <w:bookmarkStart w:colFirst="0" w:colLast="0" w:name="_8syfibjtfqth" w:id="6"/>
      <w:bookmarkEnd w:id="6"/>
      <w:r w:rsidDel="00000000" w:rsidR="00000000" w:rsidRPr="00000000">
        <w:rPr>
          <w:rtl w:val="0"/>
        </w:rPr>
        <w:t xml:space="preserve">Paper 1 </w:t>
      </w:r>
    </w:p>
    <w:p w:rsidR="00000000" w:rsidDel="00000000" w:rsidP="00000000" w:rsidRDefault="00000000" w:rsidRPr="00000000" w14:paraId="0000009C">
      <w:pPr>
        <w:widowControl w:val="0"/>
        <w:spacing w:after="0" w:before="200" w:line="276" w:lineRule="auto"/>
        <w:rPr/>
      </w:pPr>
      <w:r w:rsidDel="00000000" w:rsidR="00000000" w:rsidRPr="00000000">
        <w:rPr>
          <w:rtl w:val="0"/>
        </w:rPr>
        <w:t xml:space="preserve">Paper 1 is a case study. You will receive two documents: a resource booklet and the answer booklet. The resource booklet contains graphs, datasets, fact files, diagrams, photographs (sometimes), and other forms of scientific information. It’s usually organized around one geographic location. </w:t>
      </w:r>
      <w:r w:rsidDel="00000000" w:rsidR="00000000" w:rsidRPr="00000000">
        <w:rPr>
          <w:i w:val="1"/>
          <w:iCs w:val="1"/>
          <w:rtl w:val="0"/>
        </w:rPr>
        <w:t xml:space="preserve">Almost all the correct responses to prompts in the answer booklet can be found within the information provided in the resource booklet</w:t>
      </w:r>
      <w:r w:rsidDel="00000000" w:rsidR="00000000" w:rsidRPr="00000000">
        <w:rPr>
          <w:rtl w:val="0"/>
        </w:rPr>
        <w:t xml:space="preserve">. This is key to your success. Here’s how to approach Paper 1: </w:t>
      </w:r>
    </w:p>
    <w:p w:rsidR="00000000" w:rsidDel="00000000" w:rsidP="00000000" w:rsidRDefault="00000000" w:rsidRPr="00000000" w14:paraId="0000009D">
      <w:pPr>
        <w:widowControl w:val="0"/>
        <w:spacing w:after="0" w:before="200" w:line="276" w:lineRule="auto"/>
        <w:rPr/>
      </w:pPr>
      <w:r w:rsidDel="00000000" w:rsidR="00000000" w:rsidRPr="00000000">
        <w:rPr>
          <w:rtl w:val="0"/>
        </w:rPr>
        <w:t xml:space="preserve">✅ During the 5-minute reading time, open the resource booklet to determine the geographic or topical ‘theme’ of the exam. This isn’t an in-depth analysis - just a quick look to get oriented. </w:t>
      </w:r>
    </w:p>
    <w:p w:rsidR="00000000" w:rsidDel="00000000" w:rsidP="00000000" w:rsidRDefault="00000000" w:rsidRPr="00000000" w14:paraId="0000009E">
      <w:pPr>
        <w:widowControl w:val="0"/>
        <w:spacing w:after="0" w:before="200" w:line="276" w:lineRule="auto"/>
        <w:rPr/>
      </w:pPr>
      <w:r w:rsidDel="00000000" w:rsidR="00000000" w:rsidRPr="00000000">
        <w:rPr>
          <w:rtl w:val="0"/>
        </w:rPr>
        <w:t xml:space="preserve"> ✅ During the 5-minute reading time, review the question prompts in the answer booklet to determine which figures in the resource booklet you need to answer each prompt. Don’t worry about actually finding each answer - just know </w:t>
      </w:r>
      <w:r w:rsidDel="00000000" w:rsidR="00000000" w:rsidRPr="00000000">
        <w:rPr>
          <w:i w:val="1"/>
          <w:iCs w:val="1"/>
          <w:rtl w:val="0"/>
        </w:rPr>
        <w:t xml:space="preserve">where</w:t>
      </w:r>
      <w:r w:rsidDel="00000000" w:rsidR="00000000" w:rsidRPr="00000000">
        <w:rPr>
          <w:rtl w:val="0"/>
        </w:rPr>
        <w:t xml:space="preserve"> to find it. </w:t>
      </w:r>
    </w:p>
    <w:p w:rsidR="00000000" w:rsidDel="00000000" w:rsidP="00000000" w:rsidRDefault="00000000" w:rsidRPr="00000000" w14:paraId="0000009F">
      <w:pPr>
        <w:pStyle w:val="Heading3"/>
        <w:widowControl w:val="0"/>
        <w:rPr/>
      </w:pPr>
      <w:bookmarkStart w:colFirst="0" w:colLast="0" w:name="_g0ir9iqk93qy" w:id="7"/>
      <w:bookmarkEnd w:id="7"/>
      <w:r w:rsidDel="00000000" w:rsidR="00000000" w:rsidRPr="00000000">
        <w:rPr>
          <w:rtl w:val="0"/>
        </w:rPr>
        <w:t xml:space="preserve">Paper 2</w:t>
      </w:r>
    </w:p>
    <w:p w:rsidR="00000000" w:rsidDel="00000000" w:rsidP="00000000" w:rsidRDefault="00000000" w:rsidRPr="00000000" w14:paraId="000000A0">
      <w:pPr>
        <w:widowControl w:val="0"/>
        <w:spacing w:after="0" w:before="200" w:line="276" w:lineRule="auto"/>
        <w:rPr/>
      </w:pPr>
      <w:r w:rsidDel="00000000" w:rsidR="00000000" w:rsidRPr="00000000">
        <w:rPr>
          <w:rtl w:val="0"/>
        </w:rPr>
        <w:t xml:space="preserve">Paper 2 has two sections: </w:t>
      </w:r>
    </w:p>
    <w:p w:rsidR="00000000" w:rsidDel="00000000" w:rsidP="00000000" w:rsidRDefault="00000000" w:rsidRPr="00000000" w14:paraId="000000A1">
      <w:pPr>
        <w:widowControl w:val="0"/>
        <w:spacing w:after="0" w:before="200" w:line="276" w:lineRule="auto"/>
        <w:rPr/>
      </w:pPr>
      <w:r w:rsidDel="00000000" w:rsidR="00000000" w:rsidRPr="00000000">
        <w:rPr>
          <w:rFonts w:ascii="Inter" w:cs="Inter" w:eastAsia="Inter" w:hAnsi="Inter"/>
          <w:b w:val="1"/>
          <w:bCs w:val="1"/>
          <w:rtl w:val="0"/>
        </w:rPr>
        <w:t xml:space="preserve">Section A</w:t>
      </w:r>
      <w:r w:rsidDel="00000000" w:rsidR="00000000" w:rsidRPr="00000000">
        <w:rPr>
          <w:rtl w:val="0"/>
        </w:rPr>
        <w:t xml:space="preserve"> is short-answer responses to prompts covering everything in the ESS syllabus. You either know it or you don’t. Pay attention to the command terms, and read each prompt thoroughly to ensure your answers align with the focus of each prompt. Misreading or rushing through questions is a common way to lose marks. </w:t>
      </w:r>
    </w:p>
    <w:p w:rsidR="00000000" w:rsidDel="00000000" w:rsidP="00000000" w:rsidRDefault="00000000" w:rsidRPr="00000000" w14:paraId="000000A2">
      <w:pPr>
        <w:widowControl w:val="0"/>
        <w:spacing w:after="0" w:before="200" w:line="276" w:lineRule="auto"/>
        <w:rPr/>
      </w:pPr>
      <w:r w:rsidDel="00000000" w:rsidR="00000000" w:rsidRPr="00000000">
        <w:rPr>
          <w:rFonts w:ascii="Inter" w:cs="Inter" w:eastAsia="Inter" w:hAnsi="Inter"/>
          <w:b w:val="1"/>
          <w:bCs w:val="1"/>
          <w:rtl w:val="0"/>
        </w:rPr>
        <w:t xml:space="preserve">Section B</w:t>
      </w:r>
      <w:r w:rsidDel="00000000" w:rsidR="00000000" w:rsidRPr="00000000">
        <w:rPr>
          <w:rtl w:val="0"/>
        </w:rPr>
        <w:t xml:space="preserve"> consists of structured essays (one essay at SL, two essays at HL). Here’s how I suggest you develop your essays to meet the expectations in the mark bands:</w:t>
      </w:r>
    </w:p>
    <w:p w:rsidR="00000000" w:rsidDel="00000000" w:rsidP="00000000" w:rsidRDefault="00000000" w:rsidRPr="00000000" w14:paraId="000000A3">
      <w:pPr>
        <w:widowControl w:val="0"/>
        <w:numPr>
          <w:ilvl w:val="0"/>
          <w:numId w:val="1"/>
        </w:numPr>
        <w:spacing w:after="0" w:afterAutospacing="0"/>
        <w:ind w:left="720" w:hanging="360"/>
        <w:rPr>
          <w:u w:val="none"/>
        </w:rPr>
      </w:pPr>
      <w:r w:rsidDel="00000000" w:rsidR="00000000" w:rsidRPr="00000000">
        <w:rPr>
          <w:rtl w:val="0"/>
        </w:rPr>
        <w:t xml:space="preserve">List </w:t>
      </w:r>
      <w:r w:rsidDel="00000000" w:rsidR="00000000" w:rsidRPr="00000000">
        <w:rPr>
          <w:i w:val="1"/>
          <w:iCs w:val="1"/>
          <w:rtl w:val="0"/>
        </w:rPr>
        <w:t xml:space="preserve">3 keywords, big ideas, or essential concepts</w:t>
      </w:r>
      <w:r w:rsidDel="00000000" w:rsidR="00000000" w:rsidRPr="00000000">
        <w:rPr>
          <w:rtl w:val="0"/>
        </w:rPr>
        <w:t xml:space="preserve"> connected to the prompt. </w:t>
      </w:r>
    </w:p>
    <w:p w:rsidR="00000000" w:rsidDel="00000000" w:rsidP="00000000" w:rsidRDefault="00000000" w:rsidRPr="00000000" w14:paraId="000000A4">
      <w:pPr>
        <w:widowControl w:val="0"/>
        <w:numPr>
          <w:ilvl w:val="0"/>
          <w:numId w:val="1"/>
        </w:numPr>
        <w:spacing w:after="0" w:afterAutospacing="0" w:before="0" w:beforeAutospacing="0"/>
        <w:ind w:left="720" w:hanging="360"/>
        <w:rPr>
          <w:u w:val="none"/>
        </w:rPr>
      </w:pPr>
      <w:r w:rsidDel="00000000" w:rsidR="00000000" w:rsidRPr="00000000">
        <w:rPr>
          <w:rtl w:val="0"/>
        </w:rPr>
        <w:t xml:space="preserve">Write </w:t>
      </w:r>
      <w:r w:rsidDel="00000000" w:rsidR="00000000" w:rsidRPr="00000000">
        <w:rPr>
          <w:i w:val="1"/>
          <w:iCs w:val="1"/>
          <w:rtl w:val="0"/>
        </w:rPr>
        <w:t xml:space="preserve">one example for each</w:t>
      </w:r>
      <w:r w:rsidDel="00000000" w:rsidR="00000000" w:rsidRPr="00000000">
        <w:rPr>
          <w:rtl w:val="0"/>
        </w:rPr>
        <w:t xml:space="preserve">. Just a couple of words will do. </w:t>
      </w:r>
    </w:p>
    <w:p w:rsidR="00000000" w:rsidDel="00000000" w:rsidP="00000000" w:rsidRDefault="00000000" w:rsidRPr="00000000" w14:paraId="000000A5">
      <w:pPr>
        <w:widowControl w:val="0"/>
        <w:numPr>
          <w:ilvl w:val="0"/>
          <w:numId w:val="1"/>
        </w:numPr>
        <w:spacing w:after="0" w:afterAutospacing="0" w:before="0" w:beforeAutospacing="0"/>
        <w:ind w:left="720" w:hanging="360"/>
        <w:rPr>
          <w:u w:val="none"/>
        </w:rPr>
      </w:pPr>
      <w:r w:rsidDel="00000000" w:rsidR="00000000" w:rsidRPr="00000000">
        <w:rPr>
          <w:rtl w:val="0"/>
        </w:rPr>
        <w:t xml:space="preserve">Write </w:t>
      </w:r>
      <w:r w:rsidDel="00000000" w:rsidR="00000000" w:rsidRPr="00000000">
        <w:rPr>
          <w:i w:val="1"/>
          <w:iCs w:val="1"/>
          <w:rtl w:val="0"/>
        </w:rPr>
        <w:t xml:space="preserve">ONE introductory sentence</w:t>
      </w:r>
      <w:r w:rsidDel="00000000" w:rsidR="00000000" w:rsidRPr="00000000">
        <w:rPr>
          <w:rtl w:val="0"/>
        </w:rPr>
        <w:t xml:space="preserve"> to establish your argument. Sometimes, a clear conclusion statement is the way to go because it tells the reader where you’re going with the rest of your essay.</w:t>
      </w:r>
    </w:p>
    <w:p w:rsidR="00000000" w:rsidDel="00000000" w:rsidP="00000000" w:rsidRDefault="00000000" w:rsidRPr="00000000" w14:paraId="000000A6">
      <w:pPr>
        <w:widowControl w:val="0"/>
        <w:numPr>
          <w:ilvl w:val="0"/>
          <w:numId w:val="1"/>
        </w:numPr>
        <w:spacing w:after="0" w:afterAutospacing="0" w:before="0" w:beforeAutospacing="0"/>
        <w:ind w:left="720" w:hanging="360"/>
        <w:rPr>
          <w:u w:val="none"/>
        </w:rPr>
      </w:pPr>
      <w:r w:rsidDel="00000000" w:rsidR="00000000" w:rsidRPr="00000000">
        <w:rPr>
          <w:rtl w:val="0"/>
        </w:rPr>
        <w:t xml:space="preserve">Start your first body paragraph with a </w:t>
      </w:r>
      <w:r w:rsidDel="00000000" w:rsidR="00000000" w:rsidRPr="00000000">
        <w:rPr>
          <w:i w:val="1"/>
          <w:iCs w:val="1"/>
          <w:rtl w:val="0"/>
        </w:rPr>
        <w:t xml:space="preserve">topic sentence based on one of the big ideas</w:t>
      </w:r>
      <w:r w:rsidDel="00000000" w:rsidR="00000000" w:rsidRPr="00000000">
        <w:rPr>
          <w:rtl w:val="0"/>
        </w:rPr>
        <w:t xml:space="preserve"> you identified above. </w:t>
      </w:r>
    </w:p>
    <w:p w:rsidR="00000000" w:rsidDel="00000000" w:rsidP="00000000" w:rsidRDefault="00000000" w:rsidRPr="00000000" w14:paraId="000000A7">
      <w:pPr>
        <w:widowControl w:val="0"/>
        <w:numPr>
          <w:ilvl w:val="0"/>
          <w:numId w:val="1"/>
        </w:numPr>
        <w:spacing w:after="0" w:afterAutospacing="0" w:before="0" w:beforeAutospacing="0"/>
        <w:ind w:left="720" w:hanging="360"/>
        <w:rPr>
          <w:u w:val="none"/>
        </w:rPr>
      </w:pPr>
      <w:r w:rsidDel="00000000" w:rsidR="00000000" w:rsidRPr="00000000">
        <w:rPr>
          <w:rtl w:val="0"/>
        </w:rPr>
        <w:t xml:space="preserve">Fill in the rest of the paragraph with </w:t>
      </w:r>
      <w:r w:rsidDel="00000000" w:rsidR="00000000" w:rsidRPr="00000000">
        <w:rPr>
          <w:i w:val="1"/>
          <w:iCs w:val="1"/>
          <w:rtl w:val="0"/>
        </w:rPr>
        <w:t xml:space="preserve">an explanation of the matching example</w:t>
      </w:r>
      <w:r w:rsidDel="00000000" w:rsidR="00000000" w:rsidRPr="00000000">
        <w:rPr>
          <w:rtl w:val="0"/>
        </w:rPr>
        <w:t xml:space="preserve">. </w:t>
      </w:r>
    </w:p>
    <w:p w:rsidR="00000000" w:rsidDel="00000000" w:rsidP="00000000" w:rsidRDefault="00000000" w:rsidRPr="00000000" w14:paraId="000000A8">
      <w:pPr>
        <w:widowControl w:val="0"/>
        <w:numPr>
          <w:ilvl w:val="0"/>
          <w:numId w:val="1"/>
        </w:numPr>
        <w:spacing w:after="0" w:afterAutospacing="0" w:before="0" w:beforeAutospacing="0"/>
        <w:ind w:left="720" w:hanging="360"/>
        <w:rPr>
          <w:u w:val="none"/>
        </w:rPr>
      </w:pPr>
      <w:r w:rsidDel="00000000" w:rsidR="00000000" w:rsidRPr="00000000">
        <w:rPr>
          <w:i w:val="1"/>
          <w:iCs w:val="1"/>
          <w:rtl w:val="0"/>
        </w:rPr>
        <w:t xml:space="preserve">Use connecting words</w:t>
      </w:r>
      <w:r w:rsidDel="00000000" w:rsidR="00000000" w:rsidRPr="00000000">
        <w:rPr>
          <w:rtl w:val="0"/>
        </w:rPr>
        <w:t xml:space="preserve"> (“therefore,” “however,” “additionally,” “on the other hand,” etc) to introduce your next paragraph’s topic sentence. </w:t>
      </w:r>
    </w:p>
    <w:p w:rsidR="00000000" w:rsidDel="00000000" w:rsidP="00000000" w:rsidRDefault="00000000" w:rsidRPr="00000000" w14:paraId="000000A9">
      <w:pPr>
        <w:widowControl w:val="0"/>
        <w:numPr>
          <w:ilvl w:val="0"/>
          <w:numId w:val="1"/>
        </w:numPr>
        <w:spacing w:after="0" w:afterAutospacing="0" w:before="0" w:beforeAutospacing="0"/>
        <w:ind w:left="720" w:hanging="360"/>
        <w:rPr>
          <w:u w:val="none"/>
        </w:rPr>
      </w:pPr>
      <w:r w:rsidDel="00000000" w:rsidR="00000000" w:rsidRPr="00000000">
        <w:rPr>
          <w:rtl w:val="0"/>
        </w:rPr>
        <w:t xml:space="preserve">Use the rest of the paragraph to </w:t>
      </w:r>
      <w:r w:rsidDel="00000000" w:rsidR="00000000" w:rsidRPr="00000000">
        <w:rPr>
          <w:i w:val="1"/>
          <w:iCs w:val="1"/>
          <w:rtl w:val="0"/>
        </w:rPr>
        <w:t xml:space="preserve">explain your second example</w:t>
      </w:r>
      <w:r w:rsidDel="00000000" w:rsidR="00000000" w:rsidRPr="00000000">
        <w:rPr>
          <w:rtl w:val="0"/>
        </w:rPr>
        <w:t xml:space="preserve">. </w:t>
      </w:r>
    </w:p>
    <w:p w:rsidR="00000000" w:rsidDel="00000000" w:rsidP="00000000" w:rsidRDefault="00000000" w:rsidRPr="00000000" w14:paraId="000000AA">
      <w:pPr>
        <w:widowControl w:val="0"/>
        <w:numPr>
          <w:ilvl w:val="0"/>
          <w:numId w:val="1"/>
        </w:numPr>
        <w:spacing w:after="0" w:afterAutospacing="0" w:before="0" w:beforeAutospacing="0"/>
        <w:ind w:left="720" w:hanging="360"/>
        <w:rPr>
          <w:u w:val="none"/>
        </w:rPr>
      </w:pPr>
      <w:r w:rsidDel="00000000" w:rsidR="00000000" w:rsidRPr="00000000">
        <w:rPr>
          <w:i w:val="1"/>
          <w:iCs w:val="1"/>
          <w:rtl w:val="0"/>
        </w:rPr>
        <w:t xml:space="preserve">Repeat this for all the concepts and examples</w:t>
      </w:r>
      <w:r w:rsidDel="00000000" w:rsidR="00000000" w:rsidRPr="00000000">
        <w:rPr>
          <w:rtl w:val="0"/>
        </w:rPr>
        <w:t xml:space="preserve"> you first wrote down. </w:t>
      </w:r>
    </w:p>
    <w:p w:rsidR="00000000" w:rsidDel="00000000" w:rsidP="00000000" w:rsidRDefault="00000000" w:rsidRPr="00000000" w14:paraId="000000AB">
      <w:pPr>
        <w:widowControl w:val="0"/>
        <w:numPr>
          <w:ilvl w:val="0"/>
          <w:numId w:val="1"/>
        </w:numPr>
        <w:spacing w:after="0" w:afterAutospacing="0" w:before="0" w:beforeAutospacing="0"/>
        <w:ind w:left="720" w:hanging="360"/>
        <w:rPr>
          <w:u w:val="none"/>
        </w:rPr>
      </w:pPr>
      <w:r w:rsidDel="00000000" w:rsidR="00000000" w:rsidRPr="00000000">
        <w:rPr>
          <w:rtl w:val="0"/>
        </w:rPr>
        <w:t xml:space="preserve">Clearly </w:t>
      </w:r>
      <w:r w:rsidDel="00000000" w:rsidR="00000000" w:rsidRPr="00000000">
        <w:rPr>
          <w:i w:val="1"/>
          <w:iCs w:val="1"/>
          <w:rtl w:val="0"/>
        </w:rPr>
        <w:t xml:space="preserve">analyze the prompt’s core issues</w:t>
      </w:r>
      <w:r w:rsidDel="00000000" w:rsidR="00000000" w:rsidRPr="00000000">
        <w:rPr>
          <w:rtl w:val="0"/>
        </w:rPr>
        <w:t xml:space="preserve"> in one paragraph: pros/cons, strengths/limitations. It must show that you considered both.</w:t>
      </w:r>
    </w:p>
    <w:p w:rsidR="00000000" w:rsidDel="00000000" w:rsidP="00000000" w:rsidRDefault="00000000" w:rsidRPr="00000000" w14:paraId="000000AC">
      <w:pPr>
        <w:widowControl w:val="0"/>
        <w:numPr>
          <w:ilvl w:val="0"/>
          <w:numId w:val="1"/>
        </w:numPr>
        <w:spacing w:before="0" w:beforeAutospacing="0"/>
        <w:ind w:left="720" w:hanging="360"/>
        <w:rPr>
          <w:u w:val="none"/>
        </w:rPr>
      </w:pPr>
      <w:r w:rsidDel="00000000" w:rsidR="00000000" w:rsidRPr="00000000">
        <w:rPr>
          <w:rtl w:val="0"/>
        </w:rPr>
        <w:t xml:space="preserve">State a clear conclusion weighing in on one side of the topic. Avoid wording like “somewhat” or “to some extent” that aren’t decisive. </w:t>
      </w:r>
    </w:p>
    <w:p w:rsidR="00000000" w:rsidDel="00000000" w:rsidP="00000000" w:rsidRDefault="00000000" w:rsidRPr="00000000" w14:paraId="000000AD">
      <w:pPr>
        <w:widowControl w:val="0"/>
        <w:spacing w:after="0" w:before="200" w:line="276" w:lineRule="auto"/>
        <w:rPr/>
      </w:pPr>
      <w:r w:rsidDel="00000000" w:rsidR="00000000" w:rsidRPr="00000000">
        <w:rPr>
          <w:rtl w:val="0"/>
        </w:rPr>
        <w:t xml:space="preserve">Good luck on your exams!</w:t>
      </w:r>
    </w:p>
    <w:sectPr>
      <w:headerReference r:id="rId6" w:type="default"/>
      <w:headerReference r:id="rId7" w:type="first"/>
      <w:footerReference r:id="rId8" w:type="default"/>
      <w:footerReference r:id="rId9" w:type="first"/>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League Spartan">
    <w:embedRegular w:fontKey="{00000000-0000-0000-0000-000000000000}" r:id="rId1" w:subsetted="0"/>
    <w:embedBold w:fontKey="{00000000-0000-0000-0000-000000000000}" r:id="rId2" w:subsetted="0"/>
  </w:font>
  <w:font w:name="Inter">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League Spartan SemiBold">
    <w:embedRegular w:fontKey="{00000000-0000-0000-0000-000000000000}" r:id="rId7" w:subsetted="0"/>
    <w:embedBold w:fontKey="{00000000-0000-0000-0000-000000000000}" r:id="rId8" w:subsetted="0"/>
  </w:font>
  <w:font w:name="Inter ExtraBold">
    <w:embedBold w:fontKey="{00000000-0000-0000-0000-000000000000}" r:id="rId9" w:subsetted="0"/>
    <w:embedBoldItalic w:fontKey="{00000000-0000-0000-0000-000000000000}" r:id="rId10" w:subsetted="0"/>
  </w:font>
  <w:font w:name="League Spartan Light">
    <w:embedRegular w:fontKey="{00000000-0000-0000-0000-000000000000}" r:id="rId11" w:subsetted="0"/>
    <w:embedBold w:fontKey="{00000000-0000-0000-0000-000000000000}" r:id="rId12" w:subsetted="0"/>
  </w:font>
  <w:font w:name="Inter Medium">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E">
    <w:pPr>
      <w:rPr>
        <w:rFonts w:ascii="League Spartan Light" w:cs="League Spartan Light" w:eastAsia="League Spartan Light" w:hAnsi="League Spartan Light"/>
      </w:rPr>
    </w:pPr>
    <w:r w:rsidDel="00000000" w:rsidR="00000000" w:rsidRPr="00000000">
      <w:rPr>
        <w:rFonts w:ascii="League Spartan Light" w:cs="League Spartan Light" w:eastAsia="League Spartan Light" w:hAnsi="League Spartan Light"/>
        <w:rtl w:val="0"/>
      </w:rPr>
      <w:t xml:space="preserve">© 2026 </w:t>
    </w:r>
    <w:hyperlink r:id="rId1">
      <w:r w:rsidDel="00000000" w:rsidR="00000000" w:rsidRPr="00000000">
        <w:rPr>
          <w:rFonts w:ascii="League Spartan Light" w:cs="League Spartan Light" w:eastAsia="League Spartan Light" w:hAnsi="League Spartan Light"/>
          <w:color w:val="1155cc"/>
          <w:u w:val="single"/>
          <w:rtl w:val="0"/>
        </w:rPr>
        <w:t xml:space="preserve">IB ESSentials</w:t>
      </w:r>
    </w:hyperlink>
    <w:r w:rsidDel="00000000" w:rsidR="00000000" w:rsidRPr="00000000">
      <w:rPr>
        <w:rFonts w:ascii="League Spartan Light" w:cs="League Spartan Light" w:eastAsia="League Spartan Light" w:hAnsi="League Spartan Light"/>
        <w:rtl w:val="0"/>
      </w:rPr>
      <w:tab/>
      <w:tab/>
      <w:tab/>
      <w:tab/>
    </w:r>
    <w:hyperlink r:id="rId2">
      <w:r w:rsidDel="00000000" w:rsidR="00000000" w:rsidRPr="00000000">
        <w:rPr>
          <w:rFonts w:ascii="League Spartan Light" w:cs="League Spartan Light" w:eastAsia="League Spartan Light" w:hAnsi="League Spartan Light"/>
          <w:color w:val="1155cc"/>
          <w:u w:val="single"/>
          <w:rtl w:val="0"/>
        </w:rPr>
        <w:t xml:space="preserve">MrKremerScience.com</w:t>
      </w:r>
    </w:hyperlink>
    <w:r w:rsidDel="00000000" w:rsidR="00000000" w:rsidRPr="00000000">
      <w:rPr>
        <w:rFonts w:ascii="League Spartan Light" w:cs="League Spartan Light" w:eastAsia="League Spartan Light" w:hAnsi="League Spartan Light"/>
        <w:rtl w:val="0"/>
      </w:rPr>
      <w:t xml:space="preserve"> </w:t>
      <w:tab/>
      <w:tab/>
      <w:tab/>
      <w:tab/>
      <w:t xml:space="preserve">p. </w:t>
    </w:r>
    <w:r w:rsidDel="00000000" w:rsidR="00000000" w:rsidRPr="00000000">
      <w:rPr>
        <w:rFonts w:ascii="League Spartan Light" w:cs="League Spartan Light" w:eastAsia="League Spartan Light" w:hAnsi="League Spartan Light"/>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F">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0">
    <w:pPr>
      <w:spacing w:before="0" w:lineRule="auto"/>
      <w:rPr>
        <w:rFonts w:ascii="League Spartan Light" w:cs="League Spartan Light" w:eastAsia="League Spartan Light" w:hAnsi="League Spartan Light"/>
      </w:rPr>
    </w:pPr>
    <w:r w:rsidDel="00000000" w:rsidR="00000000" w:rsidRPr="00000000">
      <w:rPr>
        <w:rFonts w:ascii="League Spartan Light" w:cs="League Spartan Light" w:eastAsia="League Spartan Light" w:hAnsi="League Spartan Light"/>
        <w:color w:val="111111"/>
      </w:rPr>
      <mc:AlternateContent>
        <mc:Choice Requires="wpg">
          <w:drawing>
            <wp:anchor allowOverlap="1" behindDoc="0" distB="114300" distT="114300" distL="114300" distR="114300" hidden="0" layoutInCell="1" locked="0" relativeHeight="0" simplePos="0">
              <wp:simplePos x="0" y="0"/>
              <wp:positionH relativeFrom="page">
                <wp:posOffset>6645600</wp:posOffset>
              </wp:positionH>
              <wp:positionV relativeFrom="page">
                <wp:posOffset>66675</wp:posOffset>
              </wp:positionV>
              <wp:extent cx="844875" cy="844875"/>
              <wp:effectExtent b="0" l="0" r="0" t="0"/>
              <wp:wrapNone/>
              <wp:docPr id="1" name=""/>
              <a:graphic>
                <a:graphicData uri="http://schemas.microsoft.com/office/word/2010/wordprocessingGroup">
                  <wpg:wgp>
                    <wpg:cNvGrpSpPr/>
                    <wpg:grpSpPr>
                      <a:xfrm>
                        <a:off x="152400" y="152400"/>
                        <a:ext cx="844875" cy="844875"/>
                        <a:chOff x="152400" y="152400"/>
                        <a:chExt cx="4762500" cy="4762500"/>
                      </a:xfrm>
                    </wpg:grpSpPr>
                    <pic:pic>
                      <pic:nvPicPr>
                        <pic:cNvPr id="2" name="Shape 2"/>
                        <pic:cNvPicPr preferRelativeResize="0"/>
                      </pic:nvPicPr>
                      <pic:blipFill>
                        <a:blip r:embed="rId1">
                          <a:alphaModFix/>
                        </a:blip>
                        <a:stretch>
                          <a:fillRect/>
                        </a:stretch>
                      </pic:blipFill>
                      <pic:spPr>
                        <a:xfrm>
                          <a:off x="152400" y="152400"/>
                          <a:ext cx="4762500" cy="4762500"/>
                        </a:xfrm>
                        <a:prstGeom prst="rect">
                          <a:avLst/>
                        </a:prstGeom>
                        <a:noFill/>
                        <a:ln>
                          <a:noFill/>
                        </a:ln>
                      </pic:spPr>
                    </pic:pic>
                    <wps:wsp>
                      <wps:cNvSpPr txBox="1"/>
                      <wps:cNvPr id="3" name="Shape 3"/>
                      <wps:spPr>
                        <a:xfrm>
                          <a:off x="1087200" y="1848450"/>
                          <a:ext cx="2892900" cy="1370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League Spartan" w:cs="League Spartan" w:eastAsia="League Spartan" w:hAnsi="League Spartan"/>
                                <w:b w:val="1"/>
                                <w:i w:val="0"/>
                                <w:smallCaps w:val="0"/>
                                <w:strike w:val="0"/>
                                <w:color w:val="ffffff"/>
                                <w:sz w:val="256"/>
                                <w:vertAlign w:val="baseline"/>
                              </w:rPr>
                              <w:t xml:space="preserve">ESS</w:t>
                            </w:r>
                          </w:p>
                        </w:txbxContent>
                      </wps:txbx>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page">
                <wp:posOffset>6645600</wp:posOffset>
              </wp:positionH>
              <wp:positionV relativeFrom="page">
                <wp:posOffset>66675</wp:posOffset>
              </wp:positionV>
              <wp:extent cx="844875" cy="844875"/>
              <wp:effectExtent b="0" l="0" r="0" t="0"/>
              <wp:wrapNone/>
              <wp:docPr id="1" name="image1.png"/>
              <a:graphic>
                <a:graphicData uri="http://schemas.openxmlformats.org/drawingml/2006/picture">
                  <pic:pic>
                    <pic:nvPicPr>
                      <pic:cNvPr id="0" name="image1.png"/>
                      <pic:cNvPicPr preferRelativeResize="0"/>
                    </pic:nvPicPr>
                    <pic:blipFill>
                      <a:blip r:embed="rId2"/>
                      <a:srcRect/>
                      <a:stretch>
                        <a:fillRect/>
                      </a:stretch>
                    </pic:blipFill>
                    <pic:spPr>
                      <a:xfrm>
                        <a:off x="0" y="0"/>
                        <a:ext cx="844875" cy="844875"/>
                      </a:xfrm>
                      <a:prstGeom prst="rect"/>
                      <a:ln/>
                    </pic:spPr>
                  </pic:pic>
                </a:graphicData>
              </a:graphic>
            </wp:anchor>
          </w:drawing>
        </mc:Fallback>
      </mc:AlternateContent>
    </w:r>
    <w:r w:rsidDel="00000000" w:rsidR="00000000" w:rsidRPr="00000000">
      <w:rPr>
        <w:rFonts w:ascii="League Spartan Light" w:cs="League Spartan Light" w:eastAsia="League Spartan Light" w:hAnsi="League Spartan Light"/>
        <w:color w:val="111111"/>
        <w:rtl w:val="0"/>
      </w:rPr>
      <w:t xml:space="preserve">IB Environmental Systems and Societies (2024 syllabus)</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pPr>
    <w:r w:rsidDel="00000000" w:rsidR="00000000" w:rsidRPr="00000000">
      <w:rPr>
        <w:rFonts w:ascii="League Spartan Light" w:cs="League Spartan Light" w:eastAsia="League Spartan Light" w:hAnsi="League Spartan Light"/>
        <w:color w:val="111111"/>
        <w:rtl w:val="0"/>
      </w:rPr>
      <w:t xml:space="preserve">IB Environmental Systems and Societies (2024 syllabus)</w:t>
    </w:r>
    <w:r w:rsidDel="00000000" w:rsidR="00000000" w:rsidRPr="00000000">
      <w:rPr>
        <w:rFonts w:ascii="League Spartan" w:cs="League Spartan" w:eastAsia="League Spartan" w:hAnsi="League Spartan"/>
        <w:sz w:val="18"/>
        <w:szCs w:val="18"/>
      </w:rPr>
      <mc:AlternateContent>
        <mc:Choice Requires="wpg">
          <w:drawing>
            <wp:anchor allowOverlap="1" behindDoc="0" distB="114300" distT="114300" distL="114300" distR="114300" hidden="0" layoutInCell="1" locked="0" relativeHeight="0" simplePos="0">
              <wp:simplePos x="0" y="0"/>
              <wp:positionH relativeFrom="page">
                <wp:posOffset>6711001</wp:posOffset>
              </wp:positionH>
              <wp:positionV relativeFrom="page">
                <wp:posOffset>39805</wp:posOffset>
              </wp:positionV>
              <wp:extent cx="844875" cy="844875"/>
              <wp:effectExtent b="0" l="0" r="0" t="0"/>
              <wp:wrapNone/>
              <wp:docPr id="2" name=""/>
              <a:graphic>
                <a:graphicData uri="http://schemas.microsoft.com/office/word/2010/wordprocessingGroup">
                  <wpg:wgp>
                    <wpg:cNvGrpSpPr/>
                    <wpg:grpSpPr>
                      <a:xfrm>
                        <a:off x="152400" y="152400"/>
                        <a:ext cx="844875" cy="844875"/>
                        <a:chOff x="152400" y="152400"/>
                        <a:chExt cx="4762500" cy="4762500"/>
                      </a:xfrm>
                    </wpg:grpSpPr>
                    <pic:pic>
                      <pic:nvPicPr>
                        <pic:cNvPr id="2" name="Shape 2"/>
                        <pic:cNvPicPr preferRelativeResize="0"/>
                      </pic:nvPicPr>
                      <pic:blipFill>
                        <a:blip r:embed="rId1">
                          <a:alphaModFix/>
                        </a:blip>
                        <a:stretch>
                          <a:fillRect/>
                        </a:stretch>
                      </pic:blipFill>
                      <pic:spPr>
                        <a:xfrm>
                          <a:off x="152400" y="152400"/>
                          <a:ext cx="4762500" cy="4762500"/>
                        </a:xfrm>
                        <a:prstGeom prst="rect">
                          <a:avLst/>
                        </a:prstGeom>
                        <a:noFill/>
                        <a:ln>
                          <a:noFill/>
                        </a:ln>
                      </pic:spPr>
                    </pic:pic>
                    <wps:wsp>
                      <wps:cNvSpPr txBox="1"/>
                      <wps:cNvPr id="3" name="Shape 3"/>
                      <wps:spPr>
                        <a:xfrm>
                          <a:off x="1087200" y="1848450"/>
                          <a:ext cx="2892900" cy="1370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League Spartan" w:cs="League Spartan" w:eastAsia="League Spartan" w:hAnsi="League Spartan"/>
                                <w:b w:val="1"/>
                                <w:i w:val="0"/>
                                <w:smallCaps w:val="0"/>
                                <w:strike w:val="0"/>
                                <w:color w:val="ffffff"/>
                                <w:sz w:val="256"/>
                                <w:vertAlign w:val="baseline"/>
                              </w:rPr>
                              <w:t xml:space="preserve">ESS</w:t>
                            </w:r>
                          </w:p>
                        </w:txbxContent>
                      </wps:txbx>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page">
                <wp:posOffset>6711001</wp:posOffset>
              </wp:positionH>
              <wp:positionV relativeFrom="page">
                <wp:posOffset>39805</wp:posOffset>
              </wp:positionV>
              <wp:extent cx="844875" cy="844875"/>
              <wp:effectExtent b="0" l="0" r="0" t="0"/>
              <wp:wrapNone/>
              <wp:docPr id="2"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844875" cy="844875"/>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Inter Medium" w:cs="Inter Medium" w:eastAsia="Inter Medium" w:hAnsi="Inter Medium"/>
        <w:sz w:val="22"/>
        <w:szCs w:val="22"/>
        <w:lang w:val="en"/>
      </w:rPr>
    </w:rPrDefault>
    <w:pPrDefault>
      <w:pPr>
        <w:spacing w:before="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rFonts w:ascii="League Spartan" w:cs="League Spartan" w:eastAsia="League Spartan" w:hAnsi="League Spartan"/>
      <w:b w:val="1"/>
      <w:bCs w:val="1"/>
      <w:color w:val="45818e"/>
      <w:sz w:val="36"/>
      <w:szCs w:val="36"/>
    </w:rPr>
  </w:style>
  <w:style w:type="paragraph" w:styleId="Heading2">
    <w:name w:val="heading 2"/>
    <w:basedOn w:val="Normal"/>
    <w:next w:val="Normal"/>
    <w:pPr>
      <w:keepNext w:val="1"/>
      <w:keepLines w:val="1"/>
      <w:spacing w:after="200" w:lineRule="auto"/>
    </w:pPr>
    <w:rPr>
      <w:rFonts w:ascii="League Spartan" w:cs="League Spartan" w:eastAsia="League Spartan" w:hAnsi="League Spartan"/>
      <w:b w:val="1"/>
      <w:bCs w:val="1"/>
      <w:color w:val="0b5394"/>
      <w:sz w:val="28"/>
      <w:szCs w:val="28"/>
    </w:rPr>
  </w:style>
  <w:style w:type="paragraph" w:styleId="Heading3">
    <w:name w:val="heading 3"/>
    <w:basedOn w:val="Normal"/>
    <w:next w:val="Normal"/>
    <w:pPr>
      <w:keepNext w:val="1"/>
      <w:keepLines w:val="1"/>
      <w:spacing w:after="200" w:lineRule="auto"/>
    </w:pPr>
    <w:rPr>
      <w:rFonts w:ascii="Inter ExtraBold" w:cs="Inter ExtraBold" w:eastAsia="Inter ExtraBold" w:hAnsi="Inter ExtraBold"/>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after="60" w:lineRule="auto"/>
    </w:pPr>
    <w:rPr>
      <w:rFonts w:ascii="League Spartan" w:cs="League Spartan" w:eastAsia="League Spartan" w:hAnsi="League Spartan"/>
      <w:b w:val="1"/>
      <w:bCs w:val="1"/>
      <w:sz w:val="48"/>
      <w:szCs w:val="48"/>
    </w:rPr>
  </w:style>
  <w:style w:type="paragraph" w:styleId="Subtitle">
    <w:name w:val="Subtitle"/>
    <w:basedOn w:val="Normal"/>
    <w:next w:val="Normal"/>
    <w:pPr>
      <w:keepNext w:val="1"/>
      <w:keepLines w:val="1"/>
      <w:spacing w:after="200" w:lineRule="auto"/>
    </w:pPr>
    <w:rPr>
      <w:rFonts w:ascii="League Spartan SemiBold" w:cs="League Spartan SemiBold" w:eastAsia="League Spartan SemiBold" w:hAnsi="League Spartan SemiBold"/>
      <w:color w:val="666666"/>
      <w:sz w:val="32"/>
      <w:szCs w:val="32"/>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1" Type="http://schemas.openxmlformats.org/officeDocument/2006/relationships/font" Target="fonts/LeagueSpartanLight-regular.ttf"/><Relationship Id="rId10" Type="http://schemas.openxmlformats.org/officeDocument/2006/relationships/font" Target="fonts/InterExtraBold-boldItalic.ttf"/><Relationship Id="rId13" Type="http://schemas.openxmlformats.org/officeDocument/2006/relationships/font" Target="fonts/InterMedium-regular.ttf"/><Relationship Id="rId12" Type="http://schemas.openxmlformats.org/officeDocument/2006/relationships/font" Target="fonts/LeagueSpartanLight-bold.ttf"/><Relationship Id="rId1" Type="http://schemas.openxmlformats.org/officeDocument/2006/relationships/font" Target="fonts/LeagueSpartan-regular.ttf"/><Relationship Id="rId2" Type="http://schemas.openxmlformats.org/officeDocument/2006/relationships/font" Target="fonts/LeagueSpartan-bold.ttf"/><Relationship Id="rId3" Type="http://schemas.openxmlformats.org/officeDocument/2006/relationships/font" Target="fonts/Inter-regular.ttf"/><Relationship Id="rId4" Type="http://schemas.openxmlformats.org/officeDocument/2006/relationships/font" Target="fonts/Inter-bold.ttf"/><Relationship Id="rId9" Type="http://schemas.openxmlformats.org/officeDocument/2006/relationships/font" Target="fonts/InterExtraBold-bold.ttf"/><Relationship Id="rId15" Type="http://schemas.openxmlformats.org/officeDocument/2006/relationships/font" Target="fonts/InterMedium-italic.ttf"/><Relationship Id="rId14" Type="http://schemas.openxmlformats.org/officeDocument/2006/relationships/font" Target="fonts/InterMedium-bold.ttf"/><Relationship Id="rId16" Type="http://schemas.openxmlformats.org/officeDocument/2006/relationships/font" Target="fonts/InterMedium-boldItalic.ttf"/><Relationship Id="rId5" Type="http://schemas.openxmlformats.org/officeDocument/2006/relationships/font" Target="fonts/Inter-italic.ttf"/><Relationship Id="rId6" Type="http://schemas.openxmlformats.org/officeDocument/2006/relationships/font" Target="fonts/Inter-boldItalic.ttf"/><Relationship Id="rId7" Type="http://schemas.openxmlformats.org/officeDocument/2006/relationships/font" Target="fonts/LeagueSpartanSemiBold-regular.ttf"/><Relationship Id="rId8" Type="http://schemas.openxmlformats.org/officeDocument/2006/relationships/font" Target="fonts/LeagueSpartanSemiBold-bold.ttf"/></Relationships>
</file>

<file path=word/_rels/footer1.xml.rels><?xml version="1.0" encoding="UTF-8" standalone="yes"?><Relationships xmlns="http://schemas.openxmlformats.org/package/2006/relationships"><Relationship Id="rId1" Type="http://schemas.openxmlformats.org/officeDocument/2006/relationships/hyperlink" Target="https://www.youtube.com/@MrKremerScience" TargetMode="External"/><Relationship Id="rId2" Type="http://schemas.openxmlformats.org/officeDocument/2006/relationships/hyperlink" Target="https://mrkremerscience.com/new-es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